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kvalité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Båtselkojan-Lidvista i Arvidsjaurs kommun</w:t>
      </w:r>
    </w:p>
    <w:p>
      <w:r>
        <w:t>Detta dokument behandlar höga naturvärden i avverkningsanmälan Båtselkojan-Lidvista i Arvidsjaurs kommun. Denna avverkningsanmälan inkom 2023-07-27 och omfattar 142,8 ha.</w:t>
      </w:r>
    </w:p>
    <w:p>
      <w:r>
        <w:t>Nedan presenteras fynd av naturvårdsarter och fridlysta arter som gjorts i det avverkningsanmälda området, samt relevanta utdrag ur standarderna för FSC, Chain of Custody, Controlled Wood och PEFC. I BILAGA 1 finns artfakta om fridlysta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knärot (VU, §8), reliktbock (NT), rosenticka (NT), tretåig hackspett (NT, §4) och revlummer (§9).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020525"/>
            <wp:docPr id="1" name="Picture 1"/>
            <wp:cNvGraphicFramePr>
              <a:graphicFrameLocks noChangeAspect="1"/>
            </wp:cNvGraphicFramePr>
            <a:graphic>
              <a:graphicData uri="http://schemas.openxmlformats.org/drawingml/2006/picture">
                <pic:pic>
                  <pic:nvPicPr>
                    <pic:cNvPr id="0" name="Båtselkojan-Lidvista karta.png"/>
                    <pic:cNvPicPr/>
                  </pic:nvPicPr>
                  <pic:blipFill>
                    <a:blip r:embed="rId16"/>
                    <a:stretch>
                      <a:fillRect/>
                    </a:stretch>
                  </pic:blipFill>
                  <pic:spPr>
                    <a:xfrm>
                      <a:off x="0" y="0"/>
                      <a:ext cx="5486400" cy="102052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7319592, E 718127 i SWEREF 99 TM.</w:t>
      </w:r>
    </w:p>
    <w:p>
      <w:pPr>
        <w:pStyle w:val="Heading1"/>
      </w:pPr>
      <w:r>
        <w:t>Fridlysta arter</w:t>
      </w:r>
    </w:p>
    <w:p>
      <w:r>
        <w:t>Följande fridlysta arter har sina livsmiljöer och växtplatser i den avverkningsanmälda skogen: knärot (VU, §8), tretåig hackspett (NT,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2 fyndplatser för knärot registrerade på Artportalen. Figur 2 visar gränserna för buffertzoner på 50 m, som behöver lämnas kring fyndplatserna för att knärotslokalerna inte ska försvinna vid en avverkning. Av det avverkningsanmälda området överlappar 1.50 ha med buffertzonerna och får av detta skäl inte avverkas.</w:t>
      </w:r>
    </w:p>
    <w:p>
      <w:pPr>
        <w:pStyle w:val="Caption"/>
      </w:pPr>
      <w:r>
        <w:drawing>
          <wp:inline xmlns:a="http://schemas.openxmlformats.org/drawingml/2006/main" xmlns:pic="http://schemas.openxmlformats.org/drawingml/2006/picture">
            <wp:extent cx="5486400" cy="1147596"/>
            <wp:docPr id="2" name="Picture 2"/>
            <wp:cNvGraphicFramePr>
              <a:graphicFrameLocks noChangeAspect="1"/>
            </wp:cNvGraphicFramePr>
            <a:graphic>
              <a:graphicData uri="http://schemas.openxmlformats.org/drawingml/2006/picture">
                <pic:pic>
                  <pic:nvPicPr>
                    <pic:cNvPr id="0" name="Båtselkojan-Lidvista karta knärot.png"/>
                    <pic:cNvPicPr/>
                  </pic:nvPicPr>
                  <pic:blipFill>
                    <a:blip r:embed="rId17"/>
                    <a:stretch>
                      <a:fillRect/>
                    </a:stretch>
                  </pic:blipFill>
                  <pic:spPr>
                    <a:xfrm>
                      <a:off x="0" y="0"/>
                      <a:ext cx="5486400" cy="1147596"/>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7319592, E 718127 i SWEREF 99 TM.</w:t>
      </w:r>
    </w:p>
    <w:p>
      <w:pPr>
        <w:pStyle w:val="Caption"/>
      </w:pP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2024-07-24</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